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3" w:rsidRDefault="00D54CA9">
      <w:pPr>
        <w:pStyle w:val="21"/>
      </w:pPr>
      <w:r>
        <w:t>Татарбунарський районний суд Одеської області (код суду – 515)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Показник</w:t>
            </w:r>
          </w:p>
        </w:tc>
        <w:tc>
          <w:tcPr>
            <w:tcW w:w="288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88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Кількість респондентів</w:t>
            </w:r>
          </w:p>
        </w:tc>
        <w:tc>
          <w:tcPr>
            <w:tcW w:w="2880" w:type="dxa"/>
          </w:tcPr>
          <w:p w:rsidR="00D943B3" w:rsidRDefault="00D54CA9">
            <w:r>
              <w:t>Кількість</w:t>
            </w:r>
          </w:p>
        </w:tc>
        <w:tc>
          <w:tcPr>
            <w:tcW w:w="2880" w:type="dxa"/>
          </w:tcPr>
          <w:p w:rsidR="00D943B3" w:rsidRDefault="00D54CA9">
            <w:r>
              <w:t>60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Розподіл за віковими характеристиками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 xml:space="preserve">18–25 років – 13.3 %, </w:t>
            </w:r>
            <w:r>
              <w:br/>
              <w:t xml:space="preserve">26–39 років – 50.0 %, </w:t>
            </w:r>
            <w:r>
              <w:br/>
              <w:t xml:space="preserve">40–59 років – 33.3 %, </w:t>
            </w:r>
            <w:r>
              <w:br/>
              <w:t xml:space="preserve">60 </w:t>
            </w:r>
            <w:r>
              <w:t>років і старше – 3.3 %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Розподіл за статтю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 xml:space="preserve">Чоловіки – 56.7 %. </w:t>
            </w:r>
            <w:r>
              <w:br/>
              <w:t>Жінки – 43.3 %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Географічний розподіл</w:t>
            </w:r>
          </w:p>
        </w:tc>
        <w:tc>
          <w:tcPr>
            <w:tcW w:w="2880" w:type="dxa"/>
          </w:tcPr>
          <w:p w:rsidR="00D943B3" w:rsidRDefault="00D54CA9">
            <w:r>
              <w:t>Відсотки, де проживають респонденти: у тому населеному пункті, де знаходиться суд, чи в іншому</w:t>
            </w:r>
          </w:p>
        </w:tc>
        <w:tc>
          <w:tcPr>
            <w:tcW w:w="2880" w:type="dxa"/>
          </w:tcPr>
          <w:p w:rsidR="00D943B3" w:rsidRDefault="00D54CA9">
            <w:r>
              <w:t>В населеному пункті, де розташований цей суд, – 55.</w:t>
            </w:r>
            <w:r>
              <w:t>0 %.</w:t>
            </w:r>
            <w:r>
              <w:br/>
              <w:t>В іншому населеному пункті – 45.0 %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Розподіл за матеріальними статками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>Змушені економити на харчуванні – 8.3 %.</w:t>
            </w:r>
            <w:r>
              <w:br/>
              <w:t>Вистачає на харчування та необхідний одяг, взуття; однак для таких покупок як гарний  костюм, мобільний телефон, пилосос необхідн</w:t>
            </w:r>
            <w:r>
              <w:t>о заощадити або позичити – 46.7 %.</w:t>
            </w:r>
            <w:r>
              <w:br/>
              <w:t>Вистачає на харчування, одяг, взуття, інші покупки, але для придбання речей, які дорого коштують (таких як сучасний телевізор, холодильник, меблі), необхідно заощадити або позичити – 31.7 %.</w:t>
            </w:r>
            <w:r>
              <w:br/>
              <w:t xml:space="preserve">Вистачає на харчування, одяг, </w:t>
            </w:r>
            <w:r>
              <w:t>взуття, дорогі покупки, але для таких покупок як машина, квартира необхідно заощадити або позичити – 8.3 %.</w:t>
            </w:r>
            <w:r>
              <w:br/>
              <w:t>Будь-які необхідні покупки можуть зробити в будь-який час – 3.3 %.</w:t>
            </w:r>
            <w:r>
              <w:br/>
              <w:t>Важко сказати чи відмовилися від відповіді – 1.7 %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Рівень освіти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 xml:space="preserve">Мають </w:t>
            </w:r>
            <w:r>
              <w:t xml:space="preserve">середню та неповну середню освіту – </w:t>
            </w:r>
            <w:r>
              <w:lastRenderedPageBreak/>
              <w:t>33.3 %.</w:t>
            </w:r>
            <w:r>
              <w:br/>
              <w:t xml:space="preserve">Мають вищу та неповну вищу освіту – 66.7 %. </w:t>
            </w:r>
            <w:r>
              <w:br/>
              <w:t>Мають вищу юридичну освіту – 45.0 %.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lastRenderedPageBreak/>
              <w:t>Розподіл за роллю в судовому процесі (позивач, свідок, потерпілий і т.д.)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>Учасники судових проваджень, які представляють</w:t>
            </w:r>
            <w:r>
              <w:t xml:space="preserve"> особисто себе (позивачі, відповідачі, свідки або потерпілі) – 58.3 %.</w:t>
            </w:r>
            <w:r>
              <w:br/>
              <w:t xml:space="preserve"> Учасники судових проваджень, які представляють інші фізичні чи юридичні особи (адвокати, прокурори, представники, юристи-консультанти) – 40.0 %.</w:t>
            </w:r>
            <w:r>
              <w:br/>
              <w:t xml:space="preserve"> Не є учасниками судових проваджень – 1</w:t>
            </w:r>
            <w:r>
              <w:t>.7 %.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Розподіл за судовим процесом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>Цивільний процес – 48.3 %.</w:t>
            </w:r>
            <w:r>
              <w:br/>
              <w:t>Кримінальний процес – 35.0 %.</w:t>
            </w:r>
            <w:r>
              <w:br/>
              <w:t>Адміністративний процес – 1.7 %.</w:t>
            </w:r>
            <w:r>
              <w:br/>
              <w:t>Провадження у справах про адміністративні правопорушення – 15.0 %.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Розподіл за стадією розгляду справи</w:t>
            </w:r>
          </w:p>
        </w:tc>
        <w:tc>
          <w:tcPr>
            <w:tcW w:w="2880" w:type="dxa"/>
          </w:tcPr>
          <w:p w:rsidR="00D943B3" w:rsidRDefault="00D54CA9">
            <w:r>
              <w:t>Відсотки</w:t>
            </w:r>
          </w:p>
        </w:tc>
        <w:tc>
          <w:tcPr>
            <w:tcW w:w="2880" w:type="dxa"/>
          </w:tcPr>
          <w:p w:rsidR="00D943B3" w:rsidRDefault="00D54CA9">
            <w:r>
              <w:t xml:space="preserve">Розгляд </w:t>
            </w:r>
            <w:r>
              <w:t>справи ще не розпочато – 8.5 %.</w:t>
            </w:r>
            <w:r>
              <w:br/>
              <w:t>Справа перебуває в процесі розгляду – 64.4 %.</w:t>
            </w:r>
            <w:r>
              <w:br/>
              <w:t>Розгляд справи завершено (винесено рішення) – 27.1 %.</w:t>
            </w:r>
            <w:r>
              <w:br/>
            </w:r>
          </w:p>
        </w:tc>
      </w:tr>
    </w:tbl>
    <w:p w:rsidR="00D943B3" w:rsidRDefault="00D54CA9">
      <w:pPr>
        <w:pStyle w:val="31"/>
      </w:pPr>
      <w:r>
        <w:t>Таблиці результатів</w:t>
      </w:r>
    </w:p>
    <w:p w:rsidR="00D943B3" w:rsidRDefault="00D943B3"/>
    <w:p w:rsidR="00D943B3" w:rsidRDefault="00D54CA9">
      <w:pPr>
        <w:jc w:val="center"/>
      </w:pPr>
      <w:r>
        <w:t>Таблиця 4.1. Загальна оцінка якості роботи суду за 5-бальною шкалою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1906"/>
        <w:gridCol w:w="1495"/>
        <w:gridCol w:w="955"/>
        <w:gridCol w:w="332"/>
        <w:gridCol w:w="332"/>
        <w:gridCol w:w="448"/>
        <w:gridCol w:w="448"/>
        <w:gridCol w:w="1138"/>
        <w:gridCol w:w="1368"/>
      </w:tblGrid>
      <w:tr w:rsidR="00D943B3">
        <w:trPr>
          <w:jc w:val="center"/>
        </w:trPr>
        <w:tc>
          <w:tcPr>
            <w:tcW w:w="864" w:type="dxa"/>
          </w:tcPr>
          <w:p w:rsidR="00D943B3" w:rsidRDefault="00D54CA9">
            <w:r>
              <w:t>№</w:t>
            </w:r>
          </w:p>
        </w:tc>
        <w:tc>
          <w:tcPr>
            <w:tcW w:w="864" w:type="dxa"/>
          </w:tcPr>
          <w:p w:rsidR="00D943B3" w:rsidRDefault="00D54CA9">
            <w:r>
              <w:t>Респондент за характеристикою</w:t>
            </w:r>
          </w:p>
        </w:tc>
        <w:tc>
          <w:tcPr>
            <w:tcW w:w="864" w:type="dxa"/>
          </w:tcPr>
          <w:p w:rsidR="00D943B3" w:rsidRDefault="00D54CA9">
            <w:r>
              <w:t>К</w:t>
            </w:r>
            <w:r>
              <w:t>ількість респондентів</w:t>
            </w:r>
          </w:p>
        </w:tc>
        <w:tc>
          <w:tcPr>
            <w:tcW w:w="864" w:type="dxa"/>
          </w:tcPr>
          <w:p w:rsidR="00D943B3" w:rsidRDefault="00D54CA9">
            <w:r>
              <w:t>1 (дуже</w:t>
            </w:r>
            <w:r>
              <w:br/>
              <w:t>погано)</w:t>
            </w:r>
          </w:p>
        </w:tc>
        <w:tc>
          <w:tcPr>
            <w:tcW w:w="864" w:type="dxa"/>
          </w:tcPr>
          <w:p w:rsidR="00D943B3" w:rsidRDefault="00D54CA9">
            <w:r>
              <w:t>2</w:t>
            </w:r>
          </w:p>
        </w:tc>
        <w:tc>
          <w:tcPr>
            <w:tcW w:w="864" w:type="dxa"/>
          </w:tcPr>
          <w:p w:rsidR="00D943B3" w:rsidRDefault="00D54CA9">
            <w:r>
              <w:t>3</w:t>
            </w:r>
          </w:p>
        </w:tc>
        <w:tc>
          <w:tcPr>
            <w:tcW w:w="864" w:type="dxa"/>
          </w:tcPr>
          <w:p w:rsidR="00D943B3" w:rsidRDefault="00D54CA9">
            <w:r>
              <w:t>4</w:t>
            </w:r>
          </w:p>
        </w:tc>
        <w:tc>
          <w:tcPr>
            <w:tcW w:w="864" w:type="dxa"/>
          </w:tcPr>
          <w:p w:rsidR="00D943B3" w:rsidRDefault="00D54CA9">
            <w:r>
              <w:t>5</w:t>
            </w:r>
          </w:p>
        </w:tc>
        <w:tc>
          <w:tcPr>
            <w:tcW w:w="864" w:type="dxa"/>
          </w:tcPr>
          <w:p w:rsidR="00D943B3" w:rsidRDefault="00D54CA9">
            <w:r>
              <w:t>Не відповіли</w:t>
            </w:r>
          </w:p>
        </w:tc>
        <w:tc>
          <w:tcPr>
            <w:tcW w:w="864" w:type="dxa"/>
          </w:tcPr>
          <w:p w:rsidR="00D943B3" w:rsidRDefault="00D54CA9">
            <w:r>
              <w:t>Середня інтегральна оцінка</w:t>
            </w:r>
          </w:p>
        </w:tc>
      </w:tr>
      <w:tr w:rsidR="00D943B3">
        <w:trPr>
          <w:jc w:val="center"/>
        </w:trPr>
        <w:tc>
          <w:tcPr>
            <w:tcW w:w="864" w:type="dxa"/>
          </w:tcPr>
          <w:p w:rsidR="00D943B3" w:rsidRDefault="00D54CA9">
            <w:r>
              <w:t>1</w:t>
            </w:r>
          </w:p>
        </w:tc>
        <w:tc>
          <w:tcPr>
            <w:tcW w:w="864" w:type="dxa"/>
          </w:tcPr>
          <w:p w:rsidR="00D943B3" w:rsidRDefault="00D54CA9">
            <w:r>
              <w:t xml:space="preserve">Учасники судових </w:t>
            </w:r>
            <w:r>
              <w:lastRenderedPageBreak/>
              <w:t>проваджень, які представляють особисто себе (позивачі, відповідачі, свідки або потерпілі)</w:t>
            </w:r>
          </w:p>
        </w:tc>
        <w:tc>
          <w:tcPr>
            <w:tcW w:w="864" w:type="dxa"/>
          </w:tcPr>
          <w:p w:rsidR="00D943B3" w:rsidRDefault="00D54CA9">
            <w:r>
              <w:lastRenderedPageBreak/>
              <w:t>35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1</w:t>
            </w:r>
          </w:p>
        </w:tc>
        <w:tc>
          <w:tcPr>
            <w:tcW w:w="864" w:type="dxa"/>
          </w:tcPr>
          <w:p w:rsidR="00D943B3" w:rsidRDefault="00D54CA9">
            <w:r>
              <w:t>15</w:t>
            </w:r>
          </w:p>
        </w:tc>
        <w:tc>
          <w:tcPr>
            <w:tcW w:w="864" w:type="dxa"/>
          </w:tcPr>
          <w:p w:rsidR="00D943B3" w:rsidRDefault="00D54CA9">
            <w:r>
              <w:t>18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4.5</w:t>
            </w:r>
          </w:p>
        </w:tc>
      </w:tr>
      <w:tr w:rsidR="00D943B3">
        <w:trPr>
          <w:jc w:val="center"/>
        </w:trPr>
        <w:tc>
          <w:tcPr>
            <w:tcW w:w="864" w:type="dxa"/>
          </w:tcPr>
          <w:p w:rsidR="00D943B3" w:rsidRDefault="00D54CA9">
            <w:r>
              <w:lastRenderedPageBreak/>
              <w:t>2</w:t>
            </w:r>
          </w:p>
        </w:tc>
        <w:tc>
          <w:tcPr>
            <w:tcW w:w="864" w:type="dxa"/>
          </w:tcPr>
          <w:p w:rsidR="00D943B3" w:rsidRDefault="00D54CA9">
            <w:r>
              <w:t xml:space="preserve">Учасники судових проваджень, які </w:t>
            </w:r>
            <w:r>
              <w:t>представляють інші фізичні чи юридичні особи (адвокати, прокурори, представники, юристи-консультанти)</w:t>
            </w:r>
          </w:p>
        </w:tc>
        <w:tc>
          <w:tcPr>
            <w:tcW w:w="864" w:type="dxa"/>
          </w:tcPr>
          <w:p w:rsidR="00D943B3" w:rsidRDefault="00D54CA9">
            <w:r>
              <w:t>24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1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4</w:t>
            </w:r>
          </w:p>
        </w:tc>
        <w:tc>
          <w:tcPr>
            <w:tcW w:w="864" w:type="dxa"/>
          </w:tcPr>
          <w:p w:rsidR="00D943B3" w:rsidRDefault="00D54CA9">
            <w:r>
              <w:t>19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4.7</w:t>
            </w:r>
          </w:p>
        </w:tc>
      </w:tr>
      <w:tr w:rsidR="00D943B3">
        <w:trPr>
          <w:jc w:val="center"/>
        </w:trPr>
        <w:tc>
          <w:tcPr>
            <w:tcW w:w="864" w:type="dxa"/>
          </w:tcPr>
          <w:p w:rsidR="00D943B3" w:rsidRDefault="00D54CA9">
            <w:r>
              <w:t>3</w:t>
            </w:r>
          </w:p>
        </w:tc>
        <w:tc>
          <w:tcPr>
            <w:tcW w:w="864" w:type="dxa"/>
          </w:tcPr>
          <w:p w:rsidR="00D943B3" w:rsidRDefault="00D54CA9">
            <w:r>
              <w:t>Не є учасниками судових проваджень</w:t>
            </w:r>
          </w:p>
        </w:tc>
        <w:tc>
          <w:tcPr>
            <w:tcW w:w="864" w:type="dxa"/>
          </w:tcPr>
          <w:p w:rsidR="00D943B3" w:rsidRDefault="00D54CA9">
            <w:r>
              <w:t>1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1</w:t>
            </w:r>
          </w:p>
        </w:tc>
        <w:tc>
          <w:tcPr>
            <w:tcW w:w="864" w:type="dxa"/>
          </w:tcPr>
          <w:p w:rsidR="00D943B3" w:rsidRDefault="00D943B3"/>
        </w:tc>
        <w:tc>
          <w:tcPr>
            <w:tcW w:w="864" w:type="dxa"/>
          </w:tcPr>
          <w:p w:rsidR="00D943B3" w:rsidRDefault="00D54CA9">
            <w:r>
              <w:t>5.0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 xml:space="preserve">Таблиця 4.2. Доступність суду. Інтегральні показники за картками громадянського </w:t>
      </w:r>
      <w:r>
        <w:t>звітування.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>Чи легко респондентам було знайти будівлю суду?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4.7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 xml:space="preserve">Чи зручно респондентам діставатися до будівлі суду громадським транспортом? (Якщо Ви не користуєтеся громадським </w:t>
            </w:r>
            <w:r>
              <w:t>транспортом, дайте відповідь на наступне запитання)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3.6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 xml:space="preserve">Чи зручно паркувати автомобіль (достатньо паркувальних </w:t>
            </w:r>
            <w:r>
              <w:lastRenderedPageBreak/>
              <w:t>місць) біля будівлі суду?</w:t>
            </w:r>
          </w:p>
        </w:tc>
        <w:tc>
          <w:tcPr>
            <w:tcW w:w="2160" w:type="dxa"/>
          </w:tcPr>
          <w:p w:rsidR="00D943B3" w:rsidRDefault="00D54CA9">
            <w:r>
              <w:lastRenderedPageBreak/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lastRenderedPageBreak/>
              <w:t>4</w:t>
            </w:r>
          </w:p>
        </w:tc>
        <w:tc>
          <w:tcPr>
            <w:tcW w:w="2160" w:type="dxa"/>
          </w:tcPr>
          <w:p w:rsidR="00D943B3" w:rsidRDefault="00D54CA9">
            <w:r>
              <w:t>Чи зазнавали респонденти певних переш</w:t>
            </w:r>
            <w:r>
              <w:t>код у доступі до приміщень суду через обмеження охорони?</w:t>
            </w:r>
          </w:p>
        </w:tc>
        <w:tc>
          <w:tcPr>
            <w:tcW w:w="2160" w:type="dxa"/>
          </w:tcPr>
          <w:p w:rsidR="00D943B3" w:rsidRDefault="00D54CA9">
            <w:r>
              <w:t>Відсоток «Так», «Ні»</w:t>
            </w:r>
          </w:p>
        </w:tc>
        <w:tc>
          <w:tcPr>
            <w:tcW w:w="2160" w:type="dxa"/>
          </w:tcPr>
          <w:p w:rsidR="00D943B3" w:rsidRDefault="00D54CA9">
            <w:r>
              <w:t>«Так» – 100.0 %.</w:t>
            </w:r>
            <w:r>
              <w:br/>
              <w:t xml:space="preserve"> «Більш-менш» – 0 %. </w:t>
            </w:r>
            <w:r>
              <w:br/>
              <w:t>«Ні» – 0 %.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5</w:t>
            </w:r>
          </w:p>
        </w:tc>
        <w:tc>
          <w:tcPr>
            <w:tcW w:w="2160" w:type="dxa"/>
          </w:tcPr>
          <w:p w:rsidR="00D943B3" w:rsidRDefault="00D54CA9">
            <w:r>
              <w:t>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2160" w:type="dxa"/>
          </w:tcPr>
          <w:p w:rsidR="00D943B3" w:rsidRDefault="00D54CA9">
            <w:r>
              <w:t>Від 1 (ц</w:t>
            </w:r>
            <w:r>
              <w:t>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2.6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6</w:t>
            </w:r>
          </w:p>
        </w:tc>
        <w:tc>
          <w:tcPr>
            <w:tcW w:w="2160" w:type="dxa"/>
          </w:tcPr>
          <w:p w:rsidR="00D943B3" w:rsidRDefault="00D54CA9">
            <w:r>
              <w:t>Чи завжди вдавалось додзвонитися та отримати потрібну інформацію телефоном?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7</w:t>
            </w:r>
          </w:p>
        </w:tc>
        <w:tc>
          <w:tcPr>
            <w:tcW w:w="2160" w:type="dxa"/>
          </w:tcPr>
          <w:p w:rsidR="00D943B3" w:rsidRDefault="00D54CA9">
            <w:r>
              <w:t xml:space="preserve">Чи дозволяв графік роботи канцелярії суду вчасно та безперешкодно вирішувати справи у суді (подати </w:t>
            </w:r>
            <w:r>
              <w:t>позов, ознайомитися з матеріалами, отримати рішення, ухвалу, вирок та ін.)?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5.0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8</w:t>
            </w:r>
          </w:p>
        </w:tc>
        <w:tc>
          <w:tcPr>
            <w:tcW w:w="2160" w:type="dxa"/>
          </w:tcPr>
          <w:p w:rsidR="00D943B3" w:rsidRDefault="00D54CA9">
            <w:r>
              <w:t>Чи могли б респонденти дозволити витрати на послуги адвоката (юриста-консультанта) у разі необхідності?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</w:t>
            </w:r>
            <w:r>
              <w:t>к)</w:t>
            </w:r>
          </w:p>
        </w:tc>
        <w:tc>
          <w:tcPr>
            <w:tcW w:w="2160" w:type="dxa"/>
          </w:tcPr>
          <w:p w:rsidR="00D943B3" w:rsidRDefault="00D54CA9">
            <w:r>
              <w:t>3.0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ЗАГАЛЬНИЙ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4.1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lastRenderedPageBreak/>
        <w:t>Таблиця 4.3. Зручність та комфортність перебування в суді. Інтегральні показники за картками громадянського звітування.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 xml:space="preserve">Достатність зручних місць для </w:t>
            </w:r>
            <w:r>
              <w:t>очікування, оформлення документів, підготовки до засідання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4.1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>Вільний доступ до побутових приміщень (туалетів)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>Чистота та прибраність приміщень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</w:t>
            </w:r>
            <w:r>
              <w:t>м так)</w:t>
            </w:r>
          </w:p>
        </w:tc>
        <w:tc>
          <w:tcPr>
            <w:tcW w:w="2160" w:type="dxa"/>
          </w:tcPr>
          <w:p w:rsidR="00D943B3" w:rsidRDefault="00D54CA9">
            <w:r>
              <w:t>4.7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>Достатність освітлення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ЗАГАЛЬНИЙ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4.3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>Таблиця 4.4. Повнота та ясність інформації. Інтегральні показники за картками громадянського звітування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>Зручність розташування інформаційних стендів та дошок об’яв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 xml:space="preserve">Задоволеність наявністю інформації щодо розташування кабінетів, залів судових засідань, </w:t>
            </w:r>
            <w:r>
              <w:br/>
              <w:t>інших приміщень</w:t>
            </w:r>
          </w:p>
        </w:tc>
        <w:tc>
          <w:tcPr>
            <w:tcW w:w="2160" w:type="dxa"/>
          </w:tcPr>
          <w:p w:rsidR="00D943B3" w:rsidRDefault="00D54CA9">
            <w:r>
              <w:t xml:space="preserve">Від 1 (цілком ні) до </w:t>
            </w:r>
            <w:r>
              <w:t>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>Задоволеність наявністю інформації щодо правил допуску в суд та перебування в ньому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5.0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 xml:space="preserve">Задоволеність наявністю інформації щодо </w:t>
            </w:r>
            <w:r>
              <w:lastRenderedPageBreak/>
              <w:t>справ, що призначені до розгляду</w:t>
            </w:r>
          </w:p>
        </w:tc>
        <w:tc>
          <w:tcPr>
            <w:tcW w:w="2160" w:type="dxa"/>
          </w:tcPr>
          <w:p w:rsidR="00D943B3" w:rsidRDefault="00D54CA9">
            <w:r>
              <w:lastRenderedPageBreak/>
              <w:t xml:space="preserve">Від 1 (цілком ні) до 5 (цілком </w:t>
            </w:r>
            <w:r>
              <w:t>так)</w:t>
            </w:r>
          </w:p>
        </w:tc>
        <w:tc>
          <w:tcPr>
            <w:tcW w:w="2160" w:type="dxa"/>
          </w:tcPr>
          <w:p w:rsidR="00D943B3" w:rsidRDefault="00D54CA9">
            <w:r>
              <w:t>4.5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lastRenderedPageBreak/>
              <w:t>5</w:t>
            </w:r>
          </w:p>
        </w:tc>
        <w:tc>
          <w:tcPr>
            <w:tcW w:w="2160" w:type="dxa"/>
          </w:tcPr>
          <w:p w:rsidR="00D943B3" w:rsidRDefault="00D54CA9">
            <w:r>
              <w:t>Задоволеність наявністю інформації щодо зразків документів (заяв, клопотань, тощо)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4.7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6</w:t>
            </w:r>
          </w:p>
        </w:tc>
        <w:tc>
          <w:tcPr>
            <w:tcW w:w="2160" w:type="dxa"/>
          </w:tcPr>
          <w:p w:rsidR="00D943B3" w:rsidRDefault="00D54CA9">
            <w:r>
              <w:t xml:space="preserve">Задоволеність наявністю інформації щодо порядку сплати судових зборів та мита, реквізити </w:t>
            </w:r>
            <w:r>
              <w:br/>
              <w:t>та розміри платежів</w:t>
            </w:r>
          </w:p>
        </w:tc>
        <w:tc>
          <w:tcPr>
            <w:tcW w:w="2160" w:type="dxa"/>
          </w:tcPr>
          <w:p w:rsidR="00D943B3" w:rsidRDefault="00D54CA9">
            <w:r>
              <w:t xml:space="preserve">Від 1 </w:t>
            </w:r>
            <w:r>
              <w:t>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7</w:t>
            </w:r>
          </w:p>
        </w:tc>
        <w:tc>
          <w:tcPr>
            <w:tcW w:w="2160" w:type="dxa"/>
          </w:tcPr>
          <w:p w:rsidR="00D943B3" w:rsidRDefault="00D54CA9">
            <w:r>
              <w:t>Відсоток учасників проваджень, що користувалися сторінкою суду в мережі Інтернет?</w:t>
            </w:r>
          </w:p>
        </w:tc>
        <w:tc>
          <w:tcPr>
            <w:tcW w:w="2160" w:type="dxa"/>
          </w:tcPr>
          <w:p w:rsidR="00D943B3" w:rsidRDefault="00D54CA9">
            <w:r>
              <w:t>Відсоток</w:t>
            </w:r>
          </w:p>
        </w:tc>
        <w:tc>
          <w:tcPr>
            <w:tcW w:w="2160" w:type="dxa"/>
          </w:tcPr>
          <w:p w:rsidR="00D943B3" w:rsidRDefault="00D54CA9">
            <w:r>
              <w:t>36.7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8</w:t>
            </w:r>
          </w:p>
        </w:tc>
        <w:tc>
          <w:tcPr>
            <w:tcW w:w="2160" w:type="dxa"/>
          </w:tcPr>
          <w:p w:rsidR="00D943B3" w:rsidRDefault="00D54CA9">
            <w:r>
              <w:t>Чи знайшли учасники проваджень на сторінці суду потрібну інформацію?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ЗАГАЛЬНИЙ</w:t>
            </w:r>
            <w:r>
              <w:t xml:space="preserve">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>Таблиця 4.5. Сприйняття роботи працівників апарату суду. Інтегральні показники за картками громадянського звітування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>Старанність працівників апарату суду та відсутність</w:t>
            </w:r>
            <w:r>
              <w:t xml:space="preserve"> помилок, які призводили б до перероблення документів та порушення строків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 xml:space="preserve">Виявлення працівниками апарату суду доброзичливості, </w:t>
            </w:r>
            <w:r>
              <w:lastRenderedPageBreak/>
              <w:t>поваги, бажання допомогти</w:t>
            </w:r>
          </w:p>
        </w:tc>
        <w:tc>
          <w:tcPr>
            <w:tcW w:w="2160" w:type="dxa"/>
          </w:tcPr>
          <w:p w:rsidR="00D943B3" w:rsidRDefault="00D54CA9">
            <w:r>
              <w:lastRenderedPageBreak/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lastRenderedPageBreak/>
              <w:t>3</w:t>
            </w:r>
          </w:p>
        </w:tc>
        <w:tc>
          <w:tcPr>
            <w:tcW w:w="2160" w:type="dxa"/>
          </w:tcPr>
          <w:p w:rsidR="00D943B3" w:rsidRDefault="00D54CA9">
            <w:r>
              <w:t xml:space="preserve">Виявлення </w:t>
            </w:r>
            <w:r>
              <w:t>працівниками апарату суду однакового ставлення до всіх, незалежно від соціального статусу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>Виявлення працівниками апарату суду професіоналізму, знання своєї справи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</w:t>
            </w:r>
            <w:r>
              <w:t>Й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>Таблиця 4.6. Дотримання термінів судового розгляду. Інтегральні показники за картками громадянського звітування.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 xml:space="preserve">Вчасний (відповідно до графіку) початок останнього </w:t>
            </w:r>
            <w:r>
              <w:t>засідання по справі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>Врахування побажання учасника судового провадження при призначенні дня та часу засідання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>Вчасне отримання повістки та повідомлення про розгляд справи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>Обґрунтованість затримки/ перенесення слухань у розгляді справи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4.5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ЗАГАЛЬНИЙ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4.4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lastRenderedPageBreak/>
        <w:t xml:space="preserve">Таблиця 4.7. Сприйняття роботи судді. </w:t>
      </w:r>
      <w:r>
        <w:t>Інтегральні показники за картками громадянського звітування.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>Неупередженість та незалежність (суддя не піддався зовнішньому тиску , якщо такий був)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>Коректність, доброзичливіст</w:t>
            </w:r>
            <w:r>
              <w:t>ь, ввічливість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>Належна підготовка до справи та знання справи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>Надання можливостей сторонам обгрунтовувати свою позицію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5</w:t>
            </w:r>
          </w:p>
        </w:tc>
        <w:tc>
          <w:tcPr>
            <w:tcW w:w="2160" w:type="dxa"/>
          </w:tcPr>
          <w:p w:rsidR="00D943B3" w:rsidRDefault="00D54CA9">
            <w:r>
              <w:t>Дотримання процедури розгляду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4.9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ЗАГАЛЬНИЙ ІНДЕКС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4.4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>Таблиця 4.8. Судове рішення. Відносні, кількісні та інтегральні показники за картками громадянського звітування тих респонден</w:t>
      </w:r>
      <w:r>
        <w:t>тів, чиї справи вже завершено.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№</w:t>
            </w:r>
          </w:p>
        </w:tc>
        <w:tc>
          <w:tcPr>
            <w:tcW w:w="2160" w:type="dxa"/>
          </w:tcPr>
          <w:p w:rsidR="00D943B3" w:rsidRDefault="00D54CA9">
            <w:r>
              <w:t>Показник</w:t>
            </w:r>
          </w:p>
        </w:tc>
        <w:tc>
          <w:tcPr>
            <w:tcW w:w="216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16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</w:t>
            </w:r>
          </w:p>
        </w:tc>
        <w:tc>
          <w:tcPr>
            <w:tcW w:w="2160" w:type="dxa"/>
          </w:tcPr>
          <w:p w:rsidR="00D943B3" w:rsidRDefault="00D54CA9">
            <w:r>
              <w:t>Кількість респондентів, чиї справи вже завершено</w:t>
            </w:r>
          </w:p>
        </w:tc>
        <w:tc>
          <w:tcPr>
            <w:tcW w:w="2160" w:type="dxa"/>
          </w:tcPr>
          <w:p w:rsidR="00D943B3" w:rsidRDefault="00D54CA9">
            <w:r>
              <w:t>Число</w:t>
            </w:r>
          </w:p>
        </w:tc>
        <w:tc>
          <w:tcPr>
            <w:tcW w:w="2160" w:type="dxa"/>
          </w:tcPr>
          <w:p w:rsidR="00D943B3" w:rsidRDefault="00D54CA9">
            <w:r>
              <w:t>16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2</w:t>
            </w:r>
          </w:p>
        </w:tc>
        <w:tc>
          <w:tcPr>
            <w:tcW w:w="2160" w:type="dxa"/>
          </w:tcPr>
          <w:p w:rsidR="00D943B3" w:rsidRDefault="00D54CA9">
            <w:r>
              <w:t>Рішення на користь респондента</w:t>
            </w:r>
          </w:p>
        </w:tc>
        <w:tc>
          <w:tcPr>
            <w:tcW w:w="2160" w:type="dxa"/>
          </w:tcPr>
          <w:p w:rsidR="00D943B3" w:rsidRDefault="00D54CA9">
            <w:r>
              <w:t>Відсотки «Так» / «Ні»</w:t>
            </w:r>
          </w:p>
        </w:tc>
        <w:tc>
          <w:tcPr>
            <w:tcW w:w="2160" w:type="dxa"/>
          </w:tcPr>
          <w:p w:rsidR="00D943B3" w:rsidRDefault="00D54CA9">
            <w:r>
              <w:t>«Так» – 69.6 %</w:t>
            </w:r>
            <w:r>
              <w:br/>
              <w:t>«Ні» – 26.1 %.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3</w:t>
            </w:r>
          </w:p>
        </w:tc>
        <w:tc>
          <w:tcPr>
            <w:tcW w:w="2160" w:type="dxa"/>
          </w:tcPr>
          <w:p w:rsidR="00D943B3" w:rsidRDefault="00D54CA9">
            <w:r>
              <w:t>Наміри респондента оскаржувати рішення</w:t>
            </w:r>
          </w:p>
        </w:tc>
        <w:tc>
          <w:tcPr>
            <w:tcW w:w="2160" w:type="dxa"/>
          </w:tcPr>
          <w:p w:rsidR="00D943B3" w:rsidRDefault="00D54CA9">
            <w:r>
              <w:t>Відсотки «Так» / «Ні»</w:t>
            </w:r>
          </w:p>
        </w:tc>
        <w:tc>
          <w:tcPr>
            <w:tcW w:w="2160" w:type="dxa"/>
          </w:tcPr>
          <w:p w:rsidR="00D943B3" w:rsidRDefault="00D54CA9">
            <w:r>
              <w:t>«Так» – 13.0 %.</w:t>
            </w:r>
            <w:r>
              <w:br/>
              <w:t>«Ні» – 82.6 %.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4</w:t>
            </w:r>
          </w:p>
        </w:tc>
        <w:tc>
          <w:tcPr>
            <w:tcW w:w="2160" w:type="dxa"/>
          </w:tcPr>
          <w:p w:rsidR="00D943B3" w:rsidRDefault="00D54CA9">
            <w:r>
              <w:t>Отримання респондентами тексту рішення по справі</w:t>
            </w:r>
          </w:p>
        </w:tc>
        <w:tc>
          <w:tcPr>
            <w:tcW w:w="2160" w:type="dxa"/>
          </w:tcPr>
          <w:p w:rsidR="00D943B3" w:rsidRDefault="00D54CA9">
            <w:r>
              <w:t>Відсотки «Так» / «Ні»</w:t>
            </w:r>
          </w:p>
        </w:tc>
        <w:tc>
          <w:tcPr>
            <w:tcW w:w="2160" w:type="dxa"/>
          </w:tcPr>
          <w:p w:rsidR="00D943B3" w:rsidRDefault="00D54CA9">
            <w:r>
              <w:t>«Так» – 87.0 %.</w:t>
            </w:r>
            <w:r>
              <w:br/>
              <w:t>«Ні» – 6.5 %.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5</w:t>
            </w:r>
          </w:p>
        </w:tc>
        <w:tc>
          <w:tcPr>
            <w:tcW w:w="2160" w:type="dxa"/>
          </w:tcPr>
          <w:p w:rsidR="00D943B3" w:rsidRDefault="00D54CA9">
            <w:r>
              <w:t xml:space="preserve">Вчасне отримання респондентами </w:t>
            </w:r>
            <w:r>
              <w:lastRenderedPageBreak/>
              <w:t>тексту рішення по справі</w:t>
            </w:r>
          </w:p>
        </w:tc>
        <w:tc>
          <w:tcPr>
            <w:tcW w:w="2160" w:type="dxa"/>
          </w:tcPr>
          <w:p w:rsidR="00D943B3" w:rsidRDefault="00D54CA9">
            <w:r>
              <w:lastRenderedPageBreak/>
              <w:t>Відсотки «Так» / «Ні»</w:t>
            </w:r>
          </w:p>
        </w:tc>
        <w:tc>
          <w:tcPr>
            <w:tcW w:w="2160" w:type="dxa"/>
          </w:tcPr>
          <w:p w:rsidR="00D943B3" w:rsidRDefault="00D54CA9">
            <w:r>
              <w:t>«Так» – 97.5 %.</w:t>
            </w:r>
            <w:r>
              <w:br/>
            </w:r>
            <w:r>
              <w:t>«Ні» – 2.5 %.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lastRenderedPageBreak/>
              <w:t>6</w:t>
            </w:r>
          </w:p>
        </w:tc>
        <w:tc>
          <w:tcPr>
            <w:tcW w:w="2160" w:type="dxa"/>
          </w:tcPr>
          <w:p w:rsidR="00D943B3" w:rsidRDefault="00D54CA9">
            <w:r>
              <w:t>Легкість та доступність для розуміння мови викладення рішення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7</w:t>
            </w:r>
          </w:p>
        </w:tc>
        <w:tc>
          <w:tcPr>
            <w:tcW w:w="2160" w:type="dxa"/>
          </w:tcPr>
          <w:p w:rsidR="00D943B3" w:rsidRDefault="00D54CA9">
            <w:r>
              <w:t>Сприйняття респондентами обґрунтованості рішення (чи було рішення добре обґрунтоване?)</w:t>
            </w:r>
          </w:p>
        </w:tc>
        <w:tc>
          <w:tcPr>
            <w:tcW w:w="2160" w:type="dxa"/>
          </w:tcPr>
          <w:p w:rsidR="00D943B3" w:rsidRDefault="00D54CA9">
            <w:r>
              <w:t>Від 1 (цілком ні) до 5 (цілком так)</w:t>
            </w:r>
          </w:p>
        </w:tc>
        <w:tc>
          <w:tcPr>
            <w:tcW w:w="2160" w:type="dxa"/>
          </w:tcPr>
          <w:p w:rsidR="00D943B3" w:rsidRDefault="00D54CA9">
            <w:r>
              <w:t>4.5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8</w:t>
            </w:r>
          </w:p>
        </w:tc>
        <w:tc>
          <w:tcPr>
            <w:tcW w:w="2160" w:type="dxa"/>
          </w:tcPr>
          <w:p w:rsidR="00D943B3" w:rsidRDefault="00D54CA9">
            <w:r>
              <w:t>Сере</w:t>
            </w:r>
            <w:r>
              <w:t>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2160" w:type="dxa"/>
          </w:tcPr>
          <w:p w:rsidR="00D943B3" w:rsidRDefault="00D54CA9">
            <w:r>
              <w:t>Число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9</w:t>
            </w:r>
          </w:p>
        </w:tc>
        <w:tc>
          <w:tcPr>
            <w:tcW w:w="2160" w:type="dxa"/>
          </w:tcPr>
          <w:p w:rsidR="00D943B3" w:rsidRDefault="00D54CA9">
            <w:r>
              <w:t>Середня кількість судових засідань, що не відбулися через неналежну організацію роботи суду</w:t>
            </w:r>
          </w:p>
        </w:tc>
        <w:tc>
          <w:tcPr>
            <w:tcW w:w="2160" w:type="dxa"/>
          </w:tcPr>
          <w:p w:rsidR="00D943B3" w:rsidRDefault="00D54CA9">
            <w:r>
              <w:t>Число</w:t>
            </w:r>
          </w:p>
        </w:tc>
        <w:tc>
          <w:tcPr>
            <w:tcW w:w="2160" w:type="dxa"/>
          </w:tcPr>
          <w:p w:rsidR="00D943B3" w:rsidRDefault="00D54CA9">
            <w:r>
              <w:t>0.0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10</w:t>
            </w:r>
          </w:p>
        </w:tc>
        <w:tc>
          <w:tcPr>
            <w:tcW w:w="2160" w:type="dxa"/>
          </w:tcPr>
          <w:p w:rsidR="00D943B3" w:rsidRDefault="00D54CA9">
            <w:r>
              <w:t xml:space="preserve">Середня кількість візитів до суду, що </w:t>
            </w:r>
            <w:r>
              <w:t>не були пов’язані з судовими засіданнями</w:t>
            </w:r>
          </w:p>
        </w:tc>
        <w:tc>
          <w:tcPr>
            <w:tcW w:w="2160" w:type="dxa"/>
          </w:tcPr>
          <w:p w:rsidR="00D943B3" w:rsidRDefault="00D54CA9">
            <w:r>
              <w:t>Число</w:t>
            </w:r>
          </w:p>
        </w:tc>
        <w:tc>
          <w:tcPr>
            <w:tcW w:w="2160" w:type="dxa"/>
          </w:tcPr>
          <w:p w:rsidR="00D943B3" w:rsidRDefault="00D54CA9">
            <w:r>
              <w:t>0.6</w:t>
            </w:r>
          </w:p>
        </w:tc>
      </w:tr>
    </w:tbl>
    <w:p w:rsidR="00D943B3" w:rsidRDefault="00D943B3"/>
    <w:p w:rsidR="00D943B3" w:rsidRDefault="00D54CA9">
      <w:pPr>
        <w:jc w:val="center"/>
      </w:pPr>
      <w:r>
        <w:t>Таблиця 4.9. Порівняння інтегральних показників карток громадянського звітування в часі.</w:t>
      </w:r>
    </w:p>
    <w:p w:rsidR="00D943B3" w:rsidRDefault="00D54CA9">
      <w:r>
        <w:t>Ця таблиця рекомендована, якщо в суді неодноразово проводилися опитування громадян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Вимір якості</w:t>
            </w:r>
          </w:p>
        </w:tc>
        <w:tc>
          <w:tcPr>
            <w:tcW w:w="2160" w:type="dxa"/>
          </w:tcPr>
          <w:p w:rsidR="00D943B3" w:rsidRDefault="00D54CA9">
            <w:r>
              <w:t>Попередні дані</w:t>
            </w:r>
          </w:p>
        </w:tc>
        <w:tc>
          <w:tcPr>
            <w:tcW w:w="2160" w:type="dxa"/>
          </w:tcPr>
          <w:p w:rsidR="00D943B3" w:rsidRDefault="00D54CA9">
            <w:r>
              <w:t>Пот</w:t>
            </w:r>
            <w:r>
              <w:t>очні дані</w:t>
            </w:r>
          </w:p>
        </w:tc>
        <w:tc>
          <w:tcPr>
            <w:tcW w:w="2160" w:type="dxa"/>
          </w:tcPr>
          <w:p w:rsidR="00D943B3" w:rsidRDefault="00D54CA9">
            <w:r>
              <w:t>Зміни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Доступність суду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4.2</w:t>
            </w:r>
          </w:p>
        </w:tc>
        <w:tc>
          <w:tcPr>
            <w:tcW w:w="2160" w:type="dxa"/>
          </w:tcPr>
          <w:p w:rsidR="00D943B3" w:rsidRDefault="00D54CA9">
            <w:r>
              <w:t>0.4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Зручність та комфортність перебування у суді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4.3</w:t>
            </w:r>
          </w:p>
        </w:tc>
        <w:tc>
          <w:tcPr>
            <w:tcW w:w="2160" w:type="dxa"/>
          </w:tcPr>
          <w:p w:rsidR="00D943B3" w:rsidRDefault="00D54CA9">
            <w:r>
              <w:t>0.5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Повнота та ясність інформації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  <w:tc>
          <w:tcPr>
            <w:tcW w:w="2160" w:type="dxa"/>
          </w:tcPr>
          <w:p w:rsidR="00D943B3" w:rsidRDefault="00D54CA9">
            <w:r>
              <w:t>1.0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Дотримання термінів судового розгляду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4.4</w:t>
            </w:r>
          </w:p>
        </w:tc>
        <w:tc>
          <w:tcPr>
            <w:tcW w:w="2160" w:type="dxa"/>
          </w:tcPr>
          <w:p w:rsidR="00D943B3" w:rsidRDefault="00D54CA9">
            <w:r>
              <w:t>0.6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lastRenderedPageBreak/>
              <w:t>Якість роботи працівників апарату суду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  <w:tc>
          <w:tcPr>
            <w:tcW w:w="2160" w:type="dxa"/>
          </w:tcPr>
          <w:p w:rsidR="00D943B3" w:rsidRDefault="00D54CA9">
            <w:r>
              <w:t>1.0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Якість роботи судді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4.8</w:t>
            </w:r>
          </w:p>
        </w:tc>
        <w:tc>
          <w:tcPr>
            <w:tcW w:w="2160" w:type="dxa"/>
          </w:tcPr>
          <w:p w:rsidR="00D943B3" w:rsidRDefault="00D54CA9">
            <w:r>
              <w:t>1.0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Якість судових рішень</w:t>
            </w:r>
          </w:p>
        </w:tc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4.7</w:t>
            </w:r>
          </w:p>
        </w:tc>
        <w:tc>
          <w:tcPr>
            <w:tcW w:w="2160" w:type="dxa"/>
          </w:tcPr>
          <w:p w:rsidR="00D943B3" w:rsidRDefault="00D943B3"/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ЗАГАЛЬНИЙ ІНДЕКС ЗА ВСІМА ВИМІРАМИ ЯКОСТІ</w:t>
            </w:r>
          </w:p>
        </w:tc>
        <w:tc>
          <w:tcPr>
            <w:tcW w:w="2160" w:type="dxa"/>
          </w:tcPr>
          <w:p w:rsidR="00D943B3" w:rsidRDefault="00D54CA9">
            <w:r>
              <w:t>3.8</w:t>
            </w:r>
          </w:p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  <w:tc>
          <w:tcPr>
            <w:tcW w:w="2160" w:type="dxa"/>
          </w:tcPr>
          <w:p w:rsidR="00D943B3" w:rsidRDefault="00D54CA9">
            <w:r>
              <w:t>0.8</w:t>
            </w:r>
          </w:p>
        </w:tc>
      </w:tr>
      <w:tr w:rsidR="00D943B3">
        <w:trPr>
          <w:jc w:val="center"/>
        </w:trPr>
        <w:tc>
          <w:tcPr>
            <w:tcW w:w="2160" w:type="dxa"/>
          </w:tcPr>
          <w:p w:rsidR="00D943B3" w:rsidRDefault="00D54CA9">
            <w:r>
              <w:t>СЕРЕДНЯ ОЦІНКА ЗА 5-БАЛЬНОЮ СИСТЕМОЮ</w:t>
            </w:r>
          </w:p>
        </w:tc>
        <w:tc>
          <w:tcPr>
            <w:tcW w:w="2160" w:type="dxa"/>
          </w:tcPr>
          <w:p w:rsidR="00D943B3" w:rsidRDefault="00D943B3"/>
        </w:tc>
        <w:tc>
          <w:tcPr>
            <w:tcW w:w="2160" w:type="dxa"/>
          </w:tcPr>
          <w:p w:rsidR="00D943B3" w:rsidRDefault="00D54CA9">
            <w:r>
              <w:t>4.6</w:t>
            </w:r>
          </w:p>
        </w:tc>
        <w:tc>
          <w:tcPr>
            <w:tcW w:w="2160" w:type="dxa"/>
          </w:tcPr>
          <w:p w:rsidR="00D943B3" w:rsidRDefault="00D943B3"/>
        </w:tc>
      </w:tr>
    </w:tbl>
    <w:p w:rsidR="00D943B3" w:rsidRDefault="00D943B3"/>
    <w:p w:rsidR="00D943B3" w:rsidRDefault="00D54CA9">
      <w:pPr>
        <w:pStyle w:val="31"/>
      </w:pPr>
      <w:r>
        <w:t>Рекомендації учасників судових проваджень та зміни за останній час</w:t>
      </w:r>
    </w:p>
    <w:p w:rsidR="00D943B3" w:rsidRDefault="00D943B3"/>
    <w:p w:rsidR="00D943B3" w:rsidRDefault="00D54CA9">
      <w:pPr>
        <w:jc w:val="both"/>
      </w:pPr>
      <w:r>
        <w:t xml:space="preserve">1) Виміри якості, які </w:t>
      </w:r>
      <w:r>
        <w:t>слід покращувати в першу чергу.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20"/>
      </w:tblGrid>
      <w:tr w:rsidR="00D943B3">
        <w:trPr>
          <w:jc w:val="center"/>
        </w:trPr>
        <w:tc>
          <w:tcPr>
            <w:tcW w:w="4320" w:type="dxa"/>
          </w:tcPr>
          <w:p w:rsidR="00D943B3" w:rsidRDefault="00D54CA9">
            <w:r>
              <w:t>Вимір якості</w:t>
            </w:r>
          </w:p>
        </w:tc>
        <w:tc>
          <w:tcPr>
            <w:tcW w:w="4320" w:type="dxa"/>
          </w:tcPr>
          <w:p w:rsidR="00D943B3" w:rsidRDefault="00D54CA9">
            <w:r>
              <w:t>Ранг</w:t>
            </w:r>
          </w:p>
        </w:tc>
      </w:tr>
      <w:tr w:rsidR="00D943B3">
        <w:trPr>
          <w:jc w:val="center"/>
        </w:trPr>
        <w:tc>
          <w:tcPr>
            <w:tcW w:w="4320" w:type="dxa"/>
          </w:tcPr>
          <w:p w:rsidR="00D943B3" w:rsidRDefault="00D54CA9">
            <w:r>
              <w:t>1</w:t>
            </w:r>
          </w:p>
        </w:tc>
        <w:tc>
          <w:tcPr>
            <w:tcW w:w="4320" w:type="dxa"/>
          </w:tcPr>
          <w:p w:rsidR="00D943B3" w:rsidRDefault="00D943B3"/>
        </w:tc>
      </w:tr>
    </w:tbl>
    <w:p w:rsidR="00D943B3" w:rsidRDefault="00D54CA9">
      <w:r>
        <w:t>*** Анкета СОРС 2019 року не містить такого питання, тому інформація не надається</w:t>
      </w:r>
    </w:p>
    <w:p w:rsidR="00D943B3" w:rsidRDefault="00D943B3"/>
    <w:p w:rsidR="00D943B3" w:rsidRDefault="00D54CA9">
      <w:pPr>
        <w:jc w:val="both"/>
      </w:pPr>
      <w:r>
        <w:t>2) Рекомендації учасників судових проваджень</w:t>
      </w:r>
    </w:p>
    <w:p w:rsidR="00D943B3" w:rsidRDefault="00D54CA9">
      <w:r>
        <w:t xml:space="preserve">Потреба в збільшенні штату суддів. Необхідні  комфортні  умови для </w:t>
      </w:r>
      <w:r>
        <w:t>відвідувачів. Також є потреба в проведенні ремонтних робіт в будівлі суду ( а саме туалет з загальним доступом ).  Відсутня зона wi-fi. Відсутні зручні місця для написання заяв. Необхідні  кулери з водою.</w:t>
      </w:r>
    </w:p>
    <w:p w:rsidR="00D943B3" w:rsidRDefault="00D943B3"/>
    <w:p w:rsidR="00D943B3" w:rsidRDefault="00D54CA9">
      <w:pPr>
        <w:jc w:val="both"/>
      </w:pPr>
      <w:r>
        <w:t>3) На думку учасників судових проваджень, чи забез</w:t>
      </w:r>
      <w:r>
        <w:t>печують наявні матеріально-технічні ресурси потреби працівників суду для ефективного виконання своїх обов’язків?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Показник</w:t>
            </w:r>
          </w:p>
        </w:tc>
        <w:tc>
          <w:tcPr>
            <w:tcW w:w="288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88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Так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26.7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Ні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30.0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Не відповіли на запитання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43.3</w:t>
            </w:r>
          </w:p>
        </w:tc>
      </w:tr>
    </w:tbl>
    <w:p w:rsidR="00D943B3" w:rsidRDefault="00D943B3"/>
    <w:p w:rsidR="00D943B3" w:rsidRDefault="00D54CA9">
      <w:pPr>
        <w:jc w:val="both"/>
      </w:pPr>
      <w:r>
        <w:t xml:space="preserve">4) Враження респондентів від </w:t>
      </w:r>
      <w:r>
        <w:t>візиту до суду у порівнянні з очікуваннями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Показник</w:t>
            </w:r>
          </w:p>
        </w:tc>
        <w:tc>
          <w:tcPr>
            <w:tcW w:w="288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88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lastRenderedPageBreak/>
              <w:t>Кращі, ніж очікував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25.0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Гірші, ніж очікував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5.0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Відповідають очікуванням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66.7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Не відповіли на запитання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3.3</w:t>
            </w:r>
          </w:p>
        </w:tc>
      </w:tr>
    </w:tbl>
    <w:p w:rsidR="00D943B3" w:rsidRDefault="00D943B3"/>
    <w:p w:rsidR="00D943B3" w:rsidRDefault="00D54CA9">
      <w:pPr>
        <w:jc w:val="both"/>
      </w:pPr>
      <w:r>
        <w:t xml:space="preserve">5) Для респондентів, що були </w:t>
      </w:r>
      <w:r>
        <w:t>в цьому суді раніше (минулого року, або ще раніше), чи змінилася, на їх погляд якість роботи суду загалом?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Показник</w:t>
            </w:r>
          </w:p>
        </w:tc>
        <w:tc>
          <w:tcPr>
            <w:tcW w:w="288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88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Покращилась значно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21.7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Покращилась несуттєво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6.7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Залишилась без змін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33.3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 xml:space="preserve">Дещо </w:t>
            </w:r>
            <w:r>
              <w:t>погіршилася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3.3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Значно погіршилася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Важко сказати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5.0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Не відповіли на запитання</w:t>
            </w:r>
          </w:p>
        </w:tc>
        <w:tc>
          <w:tcPr>
            <w:tcW w:w="2880" w:type="dxa"/>
          </w:tcPr>
          <w:p w:rsidR="00D943B3" w:rsidRDefault="00D54CA9">
            <w:r>
              <w:t>Відсоток</w:t>
            </w:r>
          </w:p>
        </w:tc>
        <w:tc>
          <w:tcPr>
            <w:tcW w:w="2880" w:type="dxa"/>
          </w:tcPr>
          <w:p w:rsidR="00D943B3" w:rsidRDefault="00D54CA9">
            <w:r>
              <w:t>30.0</w:t>
            </w:r>
          </w:p>
        </w:tc>
      </w:tr>
    </w:tbl>
    <w:p w:rsidR="00D943B3" w:rsidRDefault="00D943B3"/>
    <w:p w:rsidR="00D943B3" w:rsidRDefault="00D54CA9">
      <w:pPr>
        <w:jc w:val="both"/>
      </w:pPr>
      <w:r>
        <w:t>6) Для респондентів, що були в цьому суді раніше, чи відчули вони певні зміни в організації роботи суду після запровадження автом</w:t>
      </w:r>
      <w:r>
        <w:t>атизованої системи діловодства?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43B3">
        <w:trPr>
          <w:jc w:val="center"/>
        </w:trPr>
        <w:tc>
          <w:tcPr>
            <w:tcW w:w="2880" w:type="dxa"/>
          </w:tcPr>
          <w:p w:rsidR="00D943B3" w:rsidRDefault="00D54CA9">
            <w:r>
              <w:t>Показник</w:t>
            </w:r>
          </w:p>
        </w:tc>
        <w:tc>
          <w:tcPr>
            <w:tcW w:w="2880" w:type="dxa"/>
          </w:tcPr>
          <w:p w:rsidR="00D943B3" w:rsidRDefault="00D54CA9">
            <w:r>
              <w:t>Одиниця виміру</w:t>
            </w:r>
          </w:p>
        </w:tc>
        <w:tc>
          <w:tcPr>
            <w:tcW w:w="2880" w:type="dxa"/>
          </w:tcPr>
          <w:p w:rsidR="00D943B3" w:rsidRDefault="00D54CA9">
            <w:r>
              <w:t>Значення</w:t>
            </w:r>
          </w:p>
        </w:tc>
      </w:tr>
      <w:tr w:rsidR="00D943B3">
        <w:trPr>
          <w:jc w:val="center"/>
        </w:trPr>
        <w:tc>
          <w:tcPr>
            <w:tcW w:w="2880" w:type="dxa"/>
          </w:tcPr>
          <w:p w:rsidR="00D943B3" w:rsidRDefault="00D943B3"/>
        </w:tc>
        <w:tc>
          <w:tcPr>
            <w:tcW w:w="2880" w:type="dxa"/>
          </w:tcPr>
          <w:p w:rsidR="00D943B3" w:rsidRDefault="00D943B3"/>
        </w:tc>
        <w:tc>
          <w:tcPr>
            <w:tcW w:w="2880" w:type="dxa"/>
          </w:tcPr>
          <w:p w:rsidR="00D943B3" w:rsidRDefault="00D943B3"/>
        </w:tc>
      </w:tr>
    </w:tbl>
    <w:p w:rsidR="00D943B3" w:rsidRDefault="00D54CA9">
      <w:r>
        <w:t xml:space="preserve">*** Анкета СОРС 2019 року не містить такого питання, тому інформація не надається. </w:t>
      </w:r>
    </w:p>
    <w:p w:rsidR="00D943B3" w:rsidRDefault="00D943B3"/>
    <w:p w:rsidR="00D943B3" w:rsidRDefault="00D54CA9">
      <w:pPr>
        <w:jc w:val="both"/>
      </w:pPr>
      <w:r>
        <w:t xml:space="preserve">Висновки: </w:t>
      </w:r>
    </w:p>
    <w:p w:rsidR="00D943B3" w:rsidRDefault="00D54CA9">
      <w:r>
        <w:t>Робота суду оцінена досить позитивн</w:t>
      </w:r>
      <w:r w:rsidR="00EE5179">
        <w:t xml:space="preserve">о. </w:t>
      </w:r>
      <w:proofErr w:type="spellStart"/>
      <w:proofErr w:type="gramStart"/>
      <w:r w:rsidR="00EE5179">
        <w:t>Респонденти</w:t>
      </w:r>
      <w:proofErr w:type="spellEnd"/>
      <w:r w:rsidR="00EE5179">
        <w:t xml:space="preserve"> </w:t>
      </w:r>
      <w:proofErr w:type="spellStart"/>
      <w:r w:rsidR="00EE5179">
        <w:t>задоволені</w:t>
      </w:r>
      <w:proofErr w:type="spellEnd"/>
      <w:r w:rsidR="00EE5179">
        <w:t xml:space="preserve"> </w:t>
      </w:r>
      <w:proofErr w:type="spellStart"/>
      <w:r w:rsidR="00EE5179">
        <w:t>якіст</w:t>
      </w:r>
      <w:proofErr w:type="spellEnd"/>
      <w:r w:rsidR="00EE5179">
        <w:rPr>
          <w:lang w:val="uk-UA"/>
        </w:rPr>
        <w:t>ю</w:t>
      </w:r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>.</w:t>
      </w:r>
      <w:proofErr w:type="gramEnd"/>
      <w:r>
        <w:t xml:space="preserve">  На </w:t>
      </w:r>
      <w:r>
        <w:t xml:space="preserve">належному рівні якість судових рішень, а також своєчасність проведення судових засідань. </w:t>
      </w:r>
      <w:proofErr w:type="spellStart"/>
      <w:r>
        <w:t>Але</w:t>
      </w:r>
      <w:proofErr w:type="spellEnd"/>
      <w:r>
        <w:t xml:space="preserve"> </w:t>
      </w:r>
      <w:r w:rsidR="00EE5179">
        <w:rPr>
          <w:lang w:val="uk-UA"/>
        </w:rPr>
        <w:t xml:space="preserve">є </w:t>
      </w:r>
      <w:bookmarkStart w:id="0" w:name="_GoBack"/>
      <w:bookmarkEnd w:id="0"/>
      <w:r>
        <w:t xml:space="preserve">потреба в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>. Респонденти звернули увагу на відсутність  комфортних  умов для відвідувачів. Також є потреба в проведенні ремонтних робіт в буд</w:t>
      </w:r>
      <w:r>
        <w:t>івлі суду ( а саме туалет з загальним доступом ).  Відсутня зона wi-fi, відсутні зручні місця для написання заяв. Необхідні  кулери з водою.</w:t>
      </w:r>
    </w:p>
    <w:p w:rsidR="00D943B3" w:rsidRDefault="00D943B3"/>
    <w:p w:rsidR="00D943B3" w:rsidRDefault="00D54CA9">
      <w:pPr>
        <w:jc w:val="both"/>
      </w:pPr>
      <w:r>
        <w:t>Рекомендації:</w:t>
      </w:r>
    </w:p>
    <w:p w:rsidR="00D943B3" w:rsidRDefault="00D54CA9">
      <w:r>
        <w:t>Провести аудит доступності приміщення суду для людей з обмеженими можливостями.</w:t>
      </w:r>
      <w:r>
        <w:br/>
        <w:t>Забезпечити дотриман</w:t>
      </w:r>
      <w:r>
        <w:t>ня розумних строків судового розгляду.</w:t>
      </w:r>
      <w:r>
        <w:br/>
        <w:t xml:space="preserve">Проінформувати про необхідність та ефективність системи “Електронний суд” </w:t>
      </w:r>
      <w:r>
        <w:lastRenderedPageBreak/>
        <w:t>працівників для ефективного виконання ними своїх обов`язків.</w:t>
      </w:r>
      <w:r>
        <w:br/>
        <w:t>Заповнити повністю штат суддів (збільшити їх кількість).</w:t>
      </w:r>
      <w:r>
        <w:br/>
        <w:t>Забезпечити сприятливі ум</w:t>
      </w:r>
      <w:r>
        <w:t>ови для працівників та відвідувачів суду (ремонт у приміщенні, зона wi-fi, кулер з водою, туалет у приміщенні, кімната для адвокатів, зручні столи в коридорах).</w:t>
      </w:r>
    </w:p>
    <w:p w:rsidR="00D943B3" w:rsidRDefault="00D54CA9">
      <w:r>
        <w:br w:type="page"/>
      </w:r>
    </w:p>
    <w:sectPr w:rsidR="00D943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54CA9"/>
    <w:rsid w:val="00D943B3"/>
    <w:rsid w:val="00EE51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16161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2D2D2D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2D2D2D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616161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616161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969696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212121" w:themeColor="text1" w:themeShade="BF"/>
    </w:rPr>
    <w:tblPr>
      <w:tblStyleRowBandSize w:val="1"/>
      <w:tblStyleColBandSize w:val="1"/>
      <w:tblInd w:w="0" w:type="dxa"/>
      <w:tblBorders>
        <w:top w:val="single" w:sz="8" w:space="0" w:color="2D2D2D" w:themeColor="text1"/>
        <w:bottom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2D2D" w:themeColor="text1"/>
          <w:left w:val="nil"/>
          <w:bottom w:val="single" w:sz="8" w:space="0" w:color="2D2D2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2D2D" w:themeColor="text1"/>
          <w:left w:val="nil"/>
          <w:bottom w:val="single" w:sz="8" w:space="0" w:color="2D2D2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band1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  <w:insideH w:val="single" w:sz="8" w:space="0" w:color="2D2D2D" w:themeColor="text1"/>
        <w:insideV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18" w:space="0" w:color="2D2D2D" w:themeColor="text1"/>
          <w:right w:val="single" w:sz="8" w:space="0" w:color="2D2D2D" w:themeColor="text1"/>
          <w:insideH w:val="nil"/>
          <w:insideV w:val="single" w:sz="8" w:space="0" w:color="2D2D2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H w:val="nil"/>
          <w:insideV w:val="single" w:sz="8" w:space="0" w:color="2D2D2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band1Vert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  <w:shd w:val="clear" w:color="auto" w:fill="CBCBCB" w:themeFill="text1" w:themeFillTint="3F"/>
      </w:tcPr>
    </w:tblStylePr>
    <w:tblStylePr w:type="band1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V w:val="single" w:sz="8" w:space="0" w:color="2D2D2D" w:themeColor="text1"/>
        </w:tcBorders>
        <w:shd w:val="clear" w:color="auto" w:fill="CBCBCB" w:themeFill="text1" w:themeFillTint="3F"/>
      </w:tcPr>
    </w:tblStylePr>
    <w:tblStylePr w:type="band2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V w:val="single" w:sz="8" w:space="0" w:color="2D2D2D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text1" w:themeTint="BF"/>
        <w:left w:val="single" w:sz="8" w:space="0" w:color="616161" w:themeColor="text1" w:themeTint="BF"/>
        <w:bottom w:val="single" w:sz="8" w:space="0" w:color="616161" w:themeColor="text1" w:themeTint="BF"/>
        <w:right w:val="single" w:sz="8" w:space="0" w:color="616161" w:themeColor="text1" w:themeTint="BF"/>
        <w:insideH w:val="single" w:sz="8" w:space="0" w:color="616161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616161" w:themeColor="text1" w:themeTint="BF"/>
          <w:left w:val="single" w:sz="8" w:space="0" w:color="616161" w:themeColor="text1" w:themeTint="BF"/>
          <w:bottom w:val="single" w:sz="8" w:space="0" w:color="616161" w:themeColor="text1" w:themeTint="BF"/>
          <w:right w:val="single" w:sz="8" w:space="0" w:color="616161" w:themeColor="text1" w:themeTint="BF"/>
          <w:insideH w:val="nil"/>
          <w:insideV w:val="nil"/>
        </w:tcBorders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text1" w:themeTint="BF"/>
          <w:left w:val="single" w:sz="8" w:space="0" w:color="616161" w:themeColor="text1" w:themeTint="BF"/>
          <w:bottom w:val="single" w:sz="8" w:space="0" w:color="616161" w:themeColor="text1" w:themeTint="BF"/>
          <w:right w:val="single" w:sz="8" w:space="0" w:color="61616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2D2D" w:themeFill="text1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2D2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bottom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2D2D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2D2D" w:themeColor="text1"/>
          <w:bottom w:val="single" w:sz="8" w:space="0" w:color="2D2D2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2D2D" w:themeColor="text1"/>
          <w:bottom w:val="single" w:sz="8" w:space="0" w:color="2D2D2D" w:themeColor="text1"/>
        </w:tcBorders>
      </w:tc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shd w:val="clear" w:color="auto" w:fill="CBCBCB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2D2D" w:themeColor="text1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2D2D" w:themeColor="text1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2D2D2D" w:themeColor="text1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BCB" w:themeFill="text1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text1" w:themeTint="BF"/>
        <w:left w:val="single" w:sz="8" w:space="0" w:color="616161" w:themeColor="text1" w:themeTint="BF"/>
        <w:bottom w:val="single" w:sz="8" w:space="0" w:color="616161" w:themeColor="text1" w:themeTint="BF"/>
        <w:right w:val="single" w:sz="8" w:space="0" w:color="616161" w:themeColor="text1" w:themeTint="BF"/>
        <w:insideH w:val="single" w:sz="8" w:space="0" w:color="616161" w:themeColor="text1" w:themeTint="BF"/>
        <w:insideV w:val="single" w:sz="8" w:space="0" w:color="616161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616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shd w:val="clear" w:color="auto" w:fill="969696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  <w:insideH w:val="single" w:sz="8" w:space="0" w:color="2D2D2D" w:themeColor="text1"/>
        <w:insideV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  <w:color w:val="2D2D2D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3"/>
      </w:tc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tcBorders>
          <w:insideH w:val="single" w:sz="6" w:space="0" w:color="2D2D2D" w:themeColor="text1"/>
          <w:insideV w:val="single" w:sz="6" w:space="0" w:color="2D2D2D" w:themeColor="text1"/>
        </w:tcBorders>
        <w:shd w:val="clear" w:color="auto" w:fill="969696" w:themeFill="text1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2D2D2D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2D2D2D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2D2D2D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2D2D2D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2D2D2D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2D2D2D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2D2D2D" w:themeFill="text1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2D2D2D" w:themeFill="text1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2D2D2D" w:themeFill="text1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2D2D2D" w:themeFill="text1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969696" w:themeFill="text1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969696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2D2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212121" w:themeFill="text1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2D2D2D" w:themeColor="text1"/>
        <w:bottom w:val="single" w:sz="4" w:space="0" w:color="2D2D2D" w:themeColor="text1"/>
        <w:right w:val="single" w:sz="4" w:space="0" w:color="2D2D2D" w:themeColor="text1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1B1B1B" w:themeFill="text1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B1B" w:themeColor="text1" w:themeShade="99"/>
          <w:insideV w:val="nil"/>
        </w:tcBorders>
        <w:shd w:val="clear" w:color="auto" w:fill="1B1B1B" w:themeFill="text1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Vert">
      <w:tblPr/>
      <w:tcPr>
        <w:shd w:val="clear" w:color="auto" w:fill="ABABAB" w:themeFill="text1" w:themeFillTint="66"/>
      </w:tcPr>
    </w:tblStylePr>
    <w:tblStylePr w:type="band1Horz">
      <w:tblPr/>
      <w:tcPr>
        <w:shd w:val="clear" w:color="auto" w:fill="969696" w:themeFill="text1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2C4C74" w:themeFill="accent1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772C2A" w:themeFill="accent2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5E7530" w:themeFill="accent3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4C3B62" w:themeFill="accent4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276A7C" w:themeFill="accent5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B65608" w:themeFill="accent6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text1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shd w:val="clear" w:color="auto" w:fill="D5D5D5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5D5" w:themeFill="text1" w:themeFillTint="33"/>
    </w:tcPr>
    <w:tblStylePr w:type="firstRow">
      <w:rPr>
        <w:b/>
        <w:bCs/>
      </w:rPr>
      <w:tblPr/>
      <w:tcPr>
        <w:shd w:val="clear" w:color="auto" w:fill="ABABAB" w:themeFill="text1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ABABAB" w:themeFill="text1" w:themeFillTint="66"/>
      </w:tcPr>
    </w:tblStylePr>
    <w:tblStylePr w:type="firstCol">
      <w:rPr>
        <w:color w:val="F5F5F5" w:themeColor="background1"/>
      </w:rPr>
      <w:tblPr/>
      <w:tcPr>
        <w:shd w:val="clear" w:color="auto" w:fill="212121" w:themeFill="text1" w:themeFillShade="BF"/>
      </w:tcPr>
    </w:tblStylePr>
    <w:tblStylePr w:type="lastCol">
      <w:rPr>
        <w:color w:val="F5F5F5" w:themeColor="background1"/>
      </w:rPr>
      <w:tblPr/>
      <w:tcPr>
        <w:shd w:val="clear" w:color="auto" w:fill="212121" w:themeFill="text1" w:themeFillShade="BF"/>
      </w:tc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shd w:val="clear" w:color="auto" w:fill="969696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5F5F5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5F5F5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5F5F5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5F5F5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5F5F5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5F5F5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5F5F5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5F5F5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5F5F5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5F5F5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5F5F5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5F5F5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16161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2D2D2D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2D2D2D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616161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616161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969696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212121" w:themeColor="text1" w:themeShade="BF"/>
    </w:rPr>
    <w:tblPr>
      <w:tblStyleRowBandSize w:val="1"/>
      <w:tblStyleColBandSize w:val="1"/>
      <w:tblInd w:w="0" w:type="dxa"/>
      <w:tblBorders>
        <w:top w:val="single" w:sz="8" w:space="0" w:color="2D2D2D" w:themeColor="text1"/>
        <w:bottom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2D2D" w:themeColor="text1"/>
          <w:left w:val="nil"/>
          <w:bottom w:val="single" w:sz="8" w:space="0" w:color="2D2D2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2D2D" w:themeColor="text1"/>
          <w:left w:val="nil"/>
          <w:bottom w:val="single" w:sz="8" w:space="0" w:color="2D2D2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band1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  <w:insideH w:val="single" w:sz="8" w:space="0" w:color="2D2D2D" w:themeColor="text1"/>
        <w:insideV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18" w:space="0" w:color="2D2D2D" w:themeColor="text1"/>
          <w:right w:val="single" w:sz="8" w:space="0" w:color="2D2D2D" w:themeColor="text1"/>
          <w:insideH w:val="nil"/>
          <w:insideV w:val="single" w:sz="8" w:space="0" w:color="2D2D2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H w:val="nil"/>
          <w:insideV w:val="single" w:sz="8" w:space="0" w:color="2D2D2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</w:tcPr>
    </w:tblStylePr>
    <w:tblStylePr w:type="band1Vert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</w:tcBorders>
        <w:shd w:val="clear" w:color="auto" w:fill="CBCBCB" w:themeFill="text1" w:themeFillTint="3F"/>
      </w:tcPr>
    </w:tblStylePr>
    <w:tblStylePr w:type="band1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V w:val="single" w:sz="8" w:space="0" w:color="2D2D2D" w:themeColor="text1"/>
        </w:tcBorders>
        <w:shd w:val="clear" w:color="auto" w:fill="CBCBCB" w:themeFill="text1" w:themeFillTint="3F"/>
      </w:tcPr>
    </w:tblStylePr>
    <w:tblStylePr w:type="band2Horz">
      <w:tblPr/>
      <w:tcPr>
        <w:tcBorders>
          <w:top w:val="single" w:sz="8" w:space="0" w:color="2D2D2D" w:themeColor="text1"/>
          <w:left w:val="single" w:sz="8" w:space="0" w:color="2D2D2D" w:themeColor="text1"/>
          <w:bottom w:val="single" w:sz="8" w:space="0" w:color="2D2D2D" w:themeColor="text1"/>
          <w:right w:val="single" w:sz="8" w:space="0" w:color="2D2D2D" w:themeColor="text1"/>
          <w:insideV w:val="single" w:sz="8" w:space="0" w:color="2D2D2D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text1" w:themeTint="BF"/>
        <w:left w:val="single" w:sz="8" w:space="0" w:color="616161" w:themeColor="text1" w:themeTint="BF"/>
        <w:bottom w:val="single" w:sz="8" w:space="0" w:color="616161" w:themeColor="text1" w:themeTint="BF"/>
        <w:right w:val="single" w:sz="8" w:space="0" w:color="616161" w:themeColor="text1" w:themeTint="BF"/>
        <w:insideH w:val="single" w:sz="8" w:space="0" w:color="616161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616161" w:themeColor="text1" w:themeTint="BF"/>
          <w:left w:val="single" w:sz="8" w:space="0" w:color="616161" w:themeColor="text1" w:themeTint="BF"/>
          <w:bottom w:val="single" w:sz="8" w:space="0" w:color="616161" w:themeColor="text1" w:themeTint="BF"/>
          <w:right w:val="single" w:sz="8" w:space="0" w:color="616161" w:themeColor="text1" w:themeTint="BF"/>
          <w:insideH w:val="nil"/>
          <w:insideV w:val="nil"/>
        </w:tcBorders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text1" w:themeTint="BF"/>
          <w:left w:val="single" w:sz="8" w:space="0" w:color="616161" w:themeColor="text1" w:themeTint="BF"/>
          <w:bottom w:val="single" w:sz="8" w:space="0" w:color="616161" w:themeColor="text1" w:themeTint="BF"/>
          <w:right w:val="single" w:sz="8" w:space="0" w:color="61616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2D2D" w:themeFill="text1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2D2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F5F5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5F5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background1" w:themeFillShade="D8"/>
      </w:tcPr>
    </w:tblStylePr>
    <w:tblStylePr w:type="band1Horz">
      <w:tblPr/>
      <w:tcPr>
        <w:shd w:val="clear" w:color="auto" w:fill="CFCFC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5F5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bottom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2D2D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2D2D" w:themeColor="text1"/>
          <w:bottom w:val="single" w:sz="8" w:space="0" w:color="2D2D2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2D2D" w:themeColor="text1"/>
          <w:bottom w:val="single" w:sz="8" w:space="0" w:color="2D2D2D" w:themeColor="text1"/>
        </w:tcBorders>
      </w:tc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shd w:val="clear" w:color="auto" w:fill="CBCBCB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2D2D" w:themeColor="text1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2D2D" w:themeColor="text1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2D2D2D" w:themeColor="text1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BCB" w:themeFill="text1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5F5F5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5F5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text1" w:themeTint="BF"/>
        <w:left w:val="single" w:sz="8" w:space="0" w:color="616161" w:themeColor="text1" w:themeTint="BF"/>
        <w:bottom w:val="single" w:sz="8" w:space="0" w:color="616161" w:themeColor="text1" w:themeTint="BF"/>
        <w:right w:val="single" w:sz="8" w:space="0" w:color="616161" w:themeColor="text1" w:themeTint="BF"/>
        <w:insideH w:val="single" w:sz="8" w:space="0" w:color="616161" w:themeColor="text1" w:themeTint="BF"/>
        <w:insideV w:val="single" w:sz="8" w:space="0" w:color="616161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616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shd w:val="clear" w:color="auto" w:fill="969696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2D2D2D" w:themeColor="text1"/>
        <w:left w:val="single" w:sz="8" w:space="0" w:color="2D2D2D" w:themeColor="text1"/>
        <w:bottom w:val="single" w:sz="8" w:space="0" w:color="2D2D2D" w:themeColor="text1"/>
        <w:right w:val="single" w:sz="8" w:space="0" w:color="2D2D2D" w:themeColor="text1"/>
        <w:insideH w:val="single" w:sz="8" w:space="0" w:color="2D2D2D" w:themeColor="text1"/>
        <w:insideV w:val="single" w:sz="8" w:space="0" w:color="2D2D2D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  <w:color w:val="2D2D2D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3"/>
      </w:tc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tcBorders>
          <w:insideH w:val="single" w:sz="6" w:space="0" w:color="2D2D2D" w:themeColor="text1"/>
          <w:insideV w:val="single" w:sz="6" w:space="0" w:color="2D2D2D" w:themeColor="text1"/>
        </w:tcBorders>
        <w:shd w:val="clear" w:color="auto" w:fill="969696" w:themeFill="text1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2D2D2D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2D2D2D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2D2D2D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2D2D2D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2D2D2D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D2D2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2D2D2D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2D2D2D" w:themeColor="text1"/>
      </w:rPr>
      <w:tblPr/>
      <w:tcPr>
        <w:tcBorders>
          <w:top w:val="single" w:sz="12" w:space="0" w:color="2D2D2D" w:themeColor="text1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firstCol">
      <w:rPr>
        <w:b/>
        <w:bCs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Col">
      <w:rPr>
        <w:b w:val="0"/>
        <w:bCs w:val="0"/>
        <w:color w:val="2D2D2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5F5F5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CBCB" w:themeFill="text1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2D2D2D" w:themeFill="text1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2D2D2D" w:themeFill="text1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2D2D2D" w:themeFill="text1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2D2D2D" w:themeFill="text1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969696" w:themeFill="text1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969696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background1"/>
        <w:left w:val="single" w:sz="8" w:space="0" w:color="F5F5F5" w:themeColor="background1"/>
        <w:bottom w:val="single" w:sz="8" w:space="0" w:color="F5F5F5" w:themeColor="background1"/>
        <w:right w:val="single" w:sz="8" w:space="0" w:color="F5F5F5" w:themeColor="background1"/>
        <w:insideH w:val="single" w:sz="6" w:space="0" w:color="F5F5F5" w:themeColor="background1"/>
        <w:insideV w:val="single" w:sz="6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5F5F5" w:themeColor="background1"/>
      </w:rPr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24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5F5F5" w:themeColor="background1"/>
      </w:rPr>
      <w:tblPr/>
      <w:tcPr>
        <w:tcBorders>
          <w:top w:val="single" w:sz="24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single" w:sz="8" w:space="0" w:color="F5F5F5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5F5F5" w:themeColor="background1"/>
      </w:rPr>
      <w:tblPr/>
      <w:tcPr>
        <w:tcBorders>
          <w:left w:val="single" w:sz="8" w:space="0" w:color="F5F5F5" w:themeColor="background1"/>
          <w:right w:val="single" w:sz="24" w:space="0" w:color="F5F5F5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5F5F5" w:themeColor="background1"/>
      </w:rPr>
      <w:tblPr/>
      <w:tcPr>
        <w:tcBorders>
          <w:top w:val="nil"/>
          <w:left w:val="single" w:sz="24" w:space="0" w:color="F5F5F5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5F5F5" w:themeColor="background1"/>
          <w:left w:val="single" w:sz="8" w:space="0" w:color="F5F5F5" w:themeColor="background1"/>
          <w:bottom w:val="single" w:sz="8" w:space="0" w:color="F5F5F5" w:themeColor="background1"/>
          <w:right w:val="single" w:sz="8" w:space="0" w:color="F5F5F5" w:themeColor="background1"/>
          <w:insideH w:val="single" w:sz="8" w:space="0" w:color="F5F5F5" w:themeColor="background1"/>
          <w:insideV w:val="single" w:sz="8" w:space="0" w:color="F5F5F5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2D2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212121" w:themeFill="text1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5F5F5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5F5F5" w:themeColor="background1"/>
          <w:right w:val="nil"/>
          <w:insideH w:val="nil"/>
          <w:insideV w:val="nil"/>
        </w:tcBorders>
        <w:shd w:val="clear" w:color="auto" w:fill="2D2D2D" w:themeFill="text1"/>
      </w:tcPr>
    </w:tblStylePr>
    <w:tblStylePr w:type="lastRow">
      <w:tblPr/>
      <w:tcPr>
        <w:tcBorders>
          <w:top w:val="single" w:sz="18" w:space="0" w:color="F5F5F5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5F5F5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5F5F5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2D2D2D" w:themeColor="text1"/>
        <w:bottom w:val="single" w:sz="4" w:space="0" w:color="2D2D2D" w:themeColor="text1"/>
        <w:right w:val="single" w:sz="4" w:space="0" w:color="2D2D2D" w:themeColor="text1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1B1B1B" w:themeFill="text1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B1B" w:themeColor="text1" w:themeShade="99"/>
          <w:insideV w:val="nil"/>
        </w:tcBorders>
        <w:shd w:val="clear" w:color="auto" w:fill="1B1B1B" w:themeFill="text1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text1" w:themeFillShade="BF"/>
      </w:tcPr>
    </w:tblStylePr>
    <w:tblStylePr w:type="band1Vert">
      <w:tblPr/>
      <w:tcPr>
        <w:shd w:val="clear" w:color="auto" w:fill="ABABAB" w:themeFill="text1" w:themeFillTint="66"/>
      </w:tcPr>
    </w:tblStylePr>
    <w:tblStylePr w:type="band1Horz">
      <w:tblPr/>
      <w:tcPr>
        <w:shd w:val="clear" w:color="auto" w:fill="969696" w:themeFill="text1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2C4C74" w:themeFill="accent1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772C2A" w:themeFill="accent2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5E7530" w:themeFill="accent3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4C3B62" w:themeFill="accent4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276A7C" w:themeFill="accent5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5F5F5" w:themeColor="background1"/>
        <w:insideV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5F5F5" w:themeFill="background1"/>
      </w:tcPr>
    </w:tblStylePr>
    <w:tblStylePr w:type="lastRow">
      <w:rPr>
        <w:b/>
        <w:bCs/>
        <w:color w:val="F5F5F5" w:themeColor="background1"/>
      </w:rPr>
      <w:tblPr/>
      <w:tcPr>
        <w:tcBorders>
          <w:top w:val="single" w:sz="6" w:space="0" w:color="F5F5F5" w:themeColor="background1"/>
        </w:tcBorders>
        <w:shd w:val="clear" w:color="auto" w:fill="B65608" w:themeFill="accent6" w:themeFillShade="99"/>
      </w:tcPr>
    </w:tblStylePr>
    <w:tblStylePr w:type="fir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5F5F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2D2D2D" w:themeColor="text1"/>
      </w:rPr>
    </w:tblStylePr>
    <w:tblStylePr w:type="nwCell">
      <w:rPr>
        <w:color w:val="2D2D2D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text1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shd w:val="clear" w:color="auto" w:fill="D5D5D5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5F5F5" w:themeColor="background1"/>
      </w:rPr>
      <w:tblPr/>
      <w:tcPr>
        <w:tcBorders>
          <w:bottom w:val="single" w:sz="12" w:space="0" w:color="F5F5F5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2D2D2D" w:themeColor="text1"/>
        </w:tcBorders>
        <w:shd w:val="clear" w:color="auto" w:fill="F5F5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5D5" w:themeFill="text1" w:themeFillTint="33"/>
    </w:tcPr>
    <w:tblStylePr w:type="firstRow">
      <w:rPr>
        <w:b/>
        <w:bCs/>
      </w:rPr>
      <w:tblPr/>
      <w:tcPr>
        <w:shd w:val="clear" w:color="auto" w:fill="ABABAB" w:themeFill="text1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ABABAB" w:themeFill="text1" w:themeFillTint="66"/>
      </w:tcPr>
    </w:tblStylePr>
    <w:tblStylePr w:type="firstCol">
      <w:rPr>
        <w:color w:val="F5F5F5" w:themeColor="background1"/>
      </w:rPr>
      <w:tblPr/>
      <w:tcPr>
        <w:shd w:val="clear" w:color="auto" w:fill="212121" w:themeFill="text1" w:themeFillShade="BF"/>
      </w:tcPr>
    </w:tblStylePr>
    <w:tblStylePr w:type="lastCol">
      <w:rPr>
        <w:color w:val="F5F5F5" w:themeColor="background1"/>
      </w:rPr>
      <w:tblPr/>
      <w:tcPr>
        <w:shd w:val="clear" w:color="auto" w:fill="212121" w:themeFill="text1" w:themeFillShade="BF"/>
      </w:tcPr>
    </w:tblStylePr>
    <w:tblStylePr w:type="band1Vert">
      <w:tblPr/>
      <w:tcPr>
        <w:shd w:val="clear" w:color="auto" w:fill="969696" w:themeFill="text1" w:themeFillTint="7F"/>
      </w:tcPr>
    </w:tblStylePr>
    <w:tblStylePr w:type="band1Horz">
      <w:tblPr/>
      <w:tcPr>
        <w:shd w:val="clear" w:color="auto" w:fill="969696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5F5F5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5F5F5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5F5F5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5F5F5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5F5F5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5F5F5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5F5F5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5F5F5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5F5F5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5F5F5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2D2D2D" w:themeColor="text1"/>
    </w:rPr>
    <w:tblPr>
      <w:tblStyleRowBandSize w:val="1"/>
      <w:tblStyleColBandSize w:val="1"/>
      <w:tblInd w:w="0" w:type="dxa"/>
      <w:tblBorders>
        <w:insideH w:val="single" w:sz="4" w:space="0" w:color="F5F5F5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2D2D2D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5F5F5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5F5F5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E1AF4B-79B9-4827-858C-A0DF9A93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1884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2019-08-07T13:06:00Z</dcterms:created>
  <dcterms:modified xsi:type="dcterms:W3CDTF">2019-08-07T13:06:00Z</dcterms:modified>
</cp:coreProperties>
</file>